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39CAA">
      <w:pPr>
        <w:pageBreakBefore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</w:rPr>
        <w:t>附件2</w:t>
      </w:r>
    </w:p>
    <w:p w14:paraId="43EF26D1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4D9BEA9F">
      <w:pPr>
        <w:pStyle w:val="32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“希沃杯”人工智能＋教育创新大赛</w:t>
      </w: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参赛作品要求及评分标准</w:t>
      </w:r>
    </w:p>
    <w:p w14:paraId="3193359C">
      <w:pPr>
        <w:keepNext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71EE93B3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本附件适用于作品征集、材料初评、初赛及决赛。</w:t>
      </w:r>
    </w:p>
    <w:p w14:paraId="32218178">
      <w:pPr>
        <w:pStyle w:val="3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一、通用要求</w:t>
      </w:r>
    </w:p>
    <w:p w14:paraId="7CF25A83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（一）参赛范围。教育科学学院、崇德书院在籍学生可个人或团队参赛，鼓励跨专业组队；参赛项目可根据需要填报1名指导教师。</w:t>
      </w:r>
    </w:p>
    <w:p w14:paraId="55BF354D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每名学生可用不同作品申报不同赛道，同赛道限参与1项；同一作品限报1个赛道，成员须有实质性贡献。</w:t>
      </w:r>
    </w:p>
    <w:p w14:paraId="331DDB3A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（二）选题要求。围绕真实教育问题，说明AI在教学、研究、产品或服务中的作用；研究赛道可研究AI应用及影响，不统一要求开发软件。</w:t>
      </w:r>
    </w:p>
    <w:p w14:paraId="4BCFFE9C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（三）材料提交。沿用报名表，以“赛道—作品名称—负责人姓名”命名文件夹。文字材料提交PDF及可编辑文件，视频用MP4，课件和原型附可查看的演示文件。</w:t>
      </w:r>
    </w:p>
    <w:p w14:paraId="2C98480F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（四）真实性。已有成果可完善后参赛。说明AI工具、使用环节及核验方式，注明引用来源；涉及未成年人或心理数据的，须取得必要授权并作匿名化处理。</w:t>
      </w:r>
    </w:p>
    <w:p w14:paraId="2DBFE496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（五）赛程。按现行比赛通知执行。</w:t>
      </w:r>
    </w:p>
    <w:p w14:paraId="539E60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二、教学设计与教学技能赛道</w:t>
      </w:r>
    </w:p>
    <w:p w14:paraId="50A331F2">
      <w:pPr>
        <w:pStyle w:val="4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（一）参赛作品要求。</w:t>
      </w:r>
    </w:p>
    <w:p w14:paraId="4937375A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1.教学设计。建议1500—3000字，写明学段、学科、教学对象、目标、重难点、教学过程、评价方式及AI应用；说明学生将完成什么任务、如何判断学习效果。</w:t>
      </w:r>
    </w:p>
    <w:p w14:paraId="56B52F15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2.资源与演示。提交配套课件、任务单或交互资源，并附微课、教学演示视频或其他可现场演示的材料。视频任选一种，建议时长5—8分钟，呈现教学过程与主要资源。</w:t>
      </w:r>
    </w:p>
    <w:p w14:paraId="03FDD01F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3.实施与反思。有课堂实施的，提供匿名化学习反馈或案例；未实施的，提供模拟演示和评价设计，如实说明验证不足。不得将模拟效果表述为真实教学成效。</w:t>
      </w:r>
    </w:p>
    <w:p w14:paraId="65172BFF">
      <w:pPr>
        <w:pStyle w:val="4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（二）评分标准。各阶段满分100分。</w:t>
      </w: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4706"/>
        <w:gridCol w:w="794"/>
        <w:gridCol w:w="794"/>
        <w:gridCol w:w="794"/>
      </w:tblGrid>
      <w:tr w14:paraId="0DCF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865EE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评价项目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E383A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C4BF8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初评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843A2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初赛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ED212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决赛</w:t>
            </w:r>
          </w:p>
        </w:tc>
      </w:tr>
      <w:tr w14:paraId="0C817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4A0B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目标与内容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3414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目标清楚，内容准确，符合学段与学习需要。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F17B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FF6D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6E06D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</w:tr>
      <w:tr w14:paraId="28F1D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8A15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教学设计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A574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任务、活动与评价连贯，过程可实施。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EDAC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B3D4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AE1EE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</w:tr>
      <w:tr w14:paraId="1BFDB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F0E3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AI应用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A42C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技术与教学目标匹配，输出经过核验。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9B30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B7CC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DD5E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</w:tr>
      <w:tr w14:paraId="4E253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553C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实施与支持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0A65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演示清晰，能支持学习并收集有效反馈。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32B69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99FD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3514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</w:tr>
      <w:tr w14:paraId="24597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8BF53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创新与反思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6FBC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改进有依据，能说明局限及优化方向。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D6CA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CE67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C75E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</w:tr>
      <w:tr w14:paraId="3D277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3282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展示与答辩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C1FA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讲解有条理，能回应教学问题。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642EE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2C11A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C1ECD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</w:tr>
    </w:tbl>
    <w:p w14:paraId="3A9887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三、教育心理研究与实践赛道</w:t>
      </w:r>
    </w:p>
    <w:p w14:paraId="4627BFE5">
      <w:pPr>
        <w:pStyle w:val="4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（一）参赛作品要求。</w:t>
      </w:r>
    </w:p>
    <w:p w14:paraId="421FC012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1.研究或实践报告。建议3000—5000字，写明问题背景、研究或服务对象、已有工作、方法与过程、主要发现或阶段成果、局限及改进计划。</w:t>
      </w:r>
    </w:p>
    <w:p w14:paraId="57423828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2.过程与证据。附必要的问卷或访谈提纲、匿名化资料、实践记录、分析过程及参考文献。文献研究、调查和实践项目按适合的方法提交，不统一要求样本量或统计检验。</w:t>
      </w:r>
    </w:p>
    <w:p w14:paraId="1A231061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3.证据边界。结果须对应真实材料，区分已有发现、推断和待验证内容；未完成效果验证的，如实说明进度。不得为参赛虚构数据，或采集未经必要授权的敏感信息。</w:t>
      </w:r>
    </w:p>
    <w:p w14:paraId="2A009839">
      <w:pPr>
        <w:pStyle w:val="4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（二）评分标准。各阶段满分100分。</w:t>
      </w: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4706"/>
        <w:gridCol w:w="794"/>
        <w:gridCol w:w="794"/>
        <w:gridCol w:w="794"/>
      </w:tblGrid>
      <w:tr w14:paraId="14865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0869A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评价项目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811CB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4186D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初评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067BD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初赛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BA924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决赛</w:t>
            </w:r>
          </w:p>
        </w:tc>
      </w:tr>
      <w:tr w14:paraId="4E975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D9D1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问题价值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329D3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问题具体，回应教育或心理实践需要。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5FB09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AB5F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C3022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</w:tr>
      <w:tr w14:paraId="083DD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5E61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研究方法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339C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方法适合问题，研究或实践过程清楚。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96049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30A03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5805E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</w:tr>
      <w:tr w14:paraId="7A827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B111D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证据与结论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73973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资料可靠，分析透明，结论不超出证据。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A6D2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BE98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4C31E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</w:tr>
      <w:tr w14:paraId="23DFB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0FDC4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实践价值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FF74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成果可供应用，能说明适用条件。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4A0D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76604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FDC9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</w:tr>
      <w:tr w14:paraId="79AA7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C58A9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创新与反思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23EF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有新发现或改进，正视不足与局限。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CC11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127E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5CC7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</w:tr>
      <w:tr w14:paraId="623B4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5CCC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展示与答辩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5C0A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能解释方法、证据及本人承担的工作。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8E460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B028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AB78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</w:tr>
    </w:tbl>
    <w:p w14:paraId="3F810F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四、教育科技创新创业赛道</w:t>
      </w:r>
    </w:p>
    <w:p w14:paraId="23231D17">
      <w:pPr>
        <w:pStyle w:val="4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（一）参赛作品要求。</w:t>
      </w:r>
    </w:p>
    <w:p w14:paraId="615D2E64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1.项目方案。建议2000—4000字，写明服务对象、真实需求、解决方案、AI作用、已有工作、应用依据、团队分工及后续实施计划。</w:t>
      </w:r>
    </w:p>
    <w:p w14:paraId="7C4FF687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2.原型或服务演示。可提交可操作原型、交互样机、服务流程或3—5分钟演示视频，说明完成程度；已有应用的附必要反馈。展示材料建议不超过15页。</w:t>
      </w:r>
    </w:p>
    <w:p w14:paraId="764400FD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3.方案阶段项目。可以参赛，但须提交需求依据、方案示意和下一步验证计划，并明确哪些功能已实现、哪些尚待开发。不以成立公司、取得营业收入或付费用户作为参赛门槛。</w:t>
      </w:r>
    </w:p>
    <w:p w14:paraId="60394A3D">
      <w:pPr>
        <w:pStyle w:val="4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（二）评分标准。各阶段满分100分。</w:t>
      </w: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7"/>
        <w:gridCol w:w="4706"/>
        <w:gridCol w:w="794"/>
        <w:gridCol w:w="794"/>
        <w:gridCol w:w="794"/>
      </w:tblGrid>
      <w:tr w14:paraId="673FD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6AFEA3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评价项目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BF39D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B7FA1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初评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91381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初赛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888C2">
            <w:pPr>
              <w:keepNext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决赛</w:t>
            </w:r>
          </w:p>
        </w:tc>
      </w:tr>
      <w:tr w14:paraId="10CC2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5A222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需求与对象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40B0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用户清楚，需求有来源，场景具体。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76CAE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217C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141A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</w:tr>
      <w:tr w14:paraId="5B4E3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3CA4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方案与创新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C4D2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方案有针对性，AI作用明确，有改进价值。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DF73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845B3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F217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</w:tr>
      <w:tr w14:paraId="1CC6F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9064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实现与验证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9A4D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原型或流程可展示，验证依据与进度真实。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C759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B7AA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AC7C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30</w:t>
            </w:r>
          </w:p>
        </w:tc>
      </w:tr>
      <w:tr w14:paraId="5FE77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EDCE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实施与推广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304E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资源、成本、推广路径及风险考虑合理。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C123D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B64C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5FDCD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15</w:t>
            </w:r>
          </w:p>
        </w:tc>
      </w:tr>
      <w:tr w14:paraId="71164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27663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教育价值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F9A7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符合教育规律，考虑使用体验及隐私。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C5503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BE79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C107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</w:tr>
      <w:tr w14:paraId="21BDF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88B74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展示与答辩</w:t>
            </w:r>
          </w:p>
        </w:tc>
        <w:tc>
          <w:tcPr>
            <w:tcW w:w="470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7CD7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演示清楚，能说明团队贡献与后续计划。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D121D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7880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9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58C6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  <w:t>10</w:t>
            </w:r>
          </w:p>
        </w:tc>
      </w:tr>
    </w:tbl>
    <w:p w14:paraId="47C73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五、分阶段评审及计分办法</w:t>
      </w:r>
    </w:p>
    <w:p w14:paraId="7F46413C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（一）资格审核。先核查参赛身份、材料完整性及原创声明。一般缺件或格式问题通知补正；涉嫌抄袭、造假或授权问题的，核实后按赛事规则处理。资格审核不另计分。</w:t>
      </w:r>
    </w:p>
    <w:p w14:paraId="7C442D46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（二）材料初评。按各赛道“初评”列评分，以提交材料及其证据为依据，确定初赛名单。“实施与支持”等指标可依据视频、记录或评价设计评分。</w:t>
      </w:r>
    </w:p>
    <w:p w14:paraId="0A1930EB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（三）初赛与决赛。初赛每项建议展示8分钟、答辩3分钟；决赛建议展示10分钟、答辩5分钟。教学赛道的教学演示包含在展示时间内，具体场次另行通知。</w:t>
      </w:r>
    </w:p>
    <w:p w14:paraId="05904741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（四）阶段独立。各阶段均为100分。初赛、决赛分别使用对应列评分，前阶段分数不累加至下一阶段；最终奖项按同赛道决赛得分确定。晋级数量和奖项数量另行公布。</w:t>
      </w:r>
    </w:p>
    <w:p w14:paraId="3BB33D9C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（五）专家计分。每组原则上不少于3名专家，独立评分后取算术平均值，保留两位小数。各指标不超过分值上限，不另设品牌、设备价格或材料包装加分。</w:t>
      </w:r>
    </w:p>
    <w:p w14:paraId="2D7EBE00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0" w:footer="119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F7D98">
    <w:pPr>
      <w:pStyle w:val="24"/>
      <w:spacing w:line="360" w:lineRule="exact"/>
      <w:ind w:left="280" w:right="280" w:firstLine="0"/>
      <w:jc w:val="right"/>
    </w:pPr>
    <w:r>
      <w:rPr>
        <w:rFonts w:ascii="Times New Roman" w:hAnsi="Times New Roman" w:eastAsia="宋体"/>
        <w:b w:val="0"/>
        <w:color w:val="000000"/>
        <w:sz w:val="2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Times New Roman" w:hAnsi="Times New Roman" w:eastAsia="宋体"/>
        <w:b w:val="0"/>
        <w:color w:val="000000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FA0A7">
    <w:pPr>
      <w:pStyle w:val="24"/>
      <w:spacing w:line="360" w:lineRule="exact"/>
      <w:ind w:left="280" w:right="280" w:firstLine="0"/>
      <w:jc w:val="left"/>
    </w:pPr>
    <w:r>
      <w:rPr>
        <w:rFonts w:ascii="Times New Roman" w:hAnsi="Times New Roman" w:eastAsia="宋体"/>
        <w:b w:val="0"/>
        <w:color w:val="000000"/>
        <w:sz w:val="2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Times New Roman" w:hAnsi="Times New Roman" w:eastAsia="宋体"/>
        <w:b w:val="0"/>
        <w:color w:val="00000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1E3F23"/>
    <w:rsid w:val="147B3C2A"/>
    <w:rsid w:val="1A0153F8"/>
    <w:rsid w:val="26876C02"/>
    <w:rsid w:val="4D821304"/>
    <w:rsid w:val="4F3B1E50"/>
    <w:rsid w:val="555B014D"/>
    <w:rsid w:val="62F6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before="0" w:after="0" w:line="560" w:lineRule="exact"/>
      <w:ind w:firstLine="640"/>
    </w:pPr>
    <w:rPr>
      <w:rFonts w:ascii="Times New Roman" w:hAnsi="Times New Roman" w:eastAsia="仿宋" w:cstheme="minorBidi"/>
      <w:color w:val="000000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widowControl/>
      <w:spacing w:before="0" w:after="0" w:line="560" w:lineRule="exact"/>
      <w:ind w:firstLine="640"/>
      <w:outlineLvl w:val="0"/>
    </w:pPr>
    <w:rPr>
      <w:rFonts w:ascii="Times New Roman" w:hAnsi="Times New Roman" w:eastAsia="黑体" w:cstheme="majorBidi"/>
      <w:bCs/>
      <w:color w:val="000000"/>
      <w:sz w:val="32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widowControl/>
      <w:spacing w:before="0" w:after="0" w:line="560" w:lineRule="exact"/>
      <w:ind w:firstLine="640"/>
      <w:outlineLvl w:val="1"/>
    </w:pPr>
    <w:rPr>
      <w:rFonts w:ascii="Times New Roman" w:hAnsi="Times New Roman" w:eastAsia="楷体" w:cstheme="majorBidi"/>
      <w:bCs/>
      <w:color w:val="000000"/>
      <w:sz w:val="32"/>
      <w:szCs w:val="26"/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keepNext/>
      <w:widowControl/>
      <w:spacing w:before="0" w:after="0" w:line="680" w:lineRule="exact"/>
      <w:ind w:firstLine="0"/>
      <w:contextualSpacing/>
    </w:pPr>
    <w:rPr>
      <w:rFonts w:ascii="Times New Roman" w:hAnsi="Times New Roman" w:eastAsia="方正小标宋简体" w:cstheme="majorBidi"/>
      <w:color w:val="000000"/>
      <w:spacing w:val="5"/>
      <w:kern w:val="28"/>
      <w:sz w:val="44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7">
    <w:name w:val="Header Char"/>
    <w:basedOn w:val="133"/>
    <w:link w:val="25"/>
    <w:qFormat/>
    <w:uiPriority w:val="99"/>
  </w:style>
  <w:style w:type="character" w:customStyle="1" w:styleId="138">
    <w:name w:val="Footer Char"/>
    <w:basedOn w:val="133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3"/>
    <w:link w:val="19"/>
    <w:qFormat/>
    <w:uiPriority w:val="99"/>
  </w:style>
  <w:style w:type="character" w:customStyle="1" w:styleId="147">
    <w:name w:val="Body Text 2 Char"/>
    <w:basedOn w:val="133"/>
    <w:link w:val="28"/>
    <w:qFormat/>
    <w:uiPriority w:val="99"/>
  </w:style>
  <w:style w:type="character" w:customStyle="1" w:styleId="148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3668</Words>
  <Characters>3849</Characters>
  <Lines>0</Lines>
  <Paragraphs>0</Paragraphs>
  <TotalTime>1</TotalTime>
  <ScaleCrop>false</ScaleCrop>
  <LinksUpToDate>false</LinksUpToDate>
  <CharactersWithSpaces>3911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刘琦</dc:creator>
  <dc:description>generated by python-docx</dc:description>
  <cp:lastModifiedBy>庄鲁</cp:lastModifiedBy>
  <dcterms:modified xsi:type="dcterms:W3CDTF">2026-10-25T04:34:32Z</dcterms:modified>
  <dc:subject>江苏第二师范学院校内赛事材料</dc:subject>
  <dc:title>关于举办“希沃杯”人工智能＋教育创新大赛的通知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eyJoZGlkIjoiZjFmZWIzNDg2MmIzZjExOTIzMmViNTBmYTMwYTk0ZWYiLCJ1c2VySWQiOiI0MTk4MTk4MzQifQ==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731DC989C76B4A7AB02A2AEB5BBF6D93_13</vt:lpwstr>
  </property>
</Properties>
</file>